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6.0.0 -->
  <w:body>
    <w:p w:rsidR="00A23B08" w:rsidRPr="00261365" w:rsidP="00A23B08">
      <w:pPr>
        <w:jc w:val="center"/>
        <w:rPr>
          <w:rFonts w:eastAsia="SimSun" w:asciiTheme="majorBidi" w:hAnsiTheme="majorBidi" w:cstheme="majorBidi"/>
          <w:sz w:val="24"/>
          <w:szCs w:val="24"/>
          <w:lang w:eastAsia="zh-CN"/>
        </w:rPr>
      </w:pPr>
      <w:bookmarkStart w:id="0" w:name="_GoBack"/>
      <w:bookmarkEnd w:id="0"/>
      <w:r w:rsidRPr="00261365">
        <w:rPr>
          <w:rFonts w:eastAsia="SimSun" w:asciiTheme="majorBidi" w:hAnsiTheme="majorBidi" w:cstheme="majorBidi"/>
          <w:sz w:val="24"/>
          <w:szCs w:val="24"/>
          <w:lang w:eastAsia="zh-CN"/>
        </w:rPr>
        <w:t>Before the</w:t>
      </w:r>
    </w:p>
    <w:p w:rsidR="00A23B08" w:rsidRPr="00261365" w:rsidP="00A23B08">
      <w:pPr>
        <w:jc w:val="center"/>
        <w:rPr>
          <w:rFonts w:eastAsia="SimSun" w:asciiTheme="majorBidi" w:hAnsiTheme="majorBidi" w:cstheme="majorBidi"/>
          <w:sz w:val="24"/>
          <w:szCs w:val="24"/>
          <w:lang w:eastAsia="zh-CN"/>
        </w:rPr>
      </w:pPr>
      <w:r w:rsidRPr="00261365">
        <w:rPr>
          <w:rFonts w:eastAsia="SimSun" w:asciiTheme="majorBidi" w:hAnsiTheme="majorBidi" w:cstheme="majorBidi"/>
          <w:sz w:val="24"/>
          <w:szCs w:val="24"/>
          <w:lang w:eastAsia="zh-CN"/>
        </w:rPr>
        <w:t>UNITED STATES COPYRIGHT ROYALTY JUDGES</w:t>
      </w:r>
    </w:p>
    <w:p w:rsidR="00A23B08" w:rsidRPr="00261365" w:rsidP="00A23B08">
      <w:pPr>
        <w:jc w:val="center"/>
        <w:rPr>
          <w:rFonts w:eastAsia="SimSun" w:asciiTheme="majorBidi" w:hAnsiTheme="majorBidi" w:cstheme="majorBidi"/>
          <w:sz w:val="24"/>
          <w:szCs w:val="24"/>
          <w:lang w:eastAsia="zh-CN"/>
        </w:rPr>
      </w:pPr>
      <w:r w:rsidRPr="00261365">
        <w:rPr>
          <w:rFonts w:eastAsia="SimSun" w:asciiTheme="majorBidi" w:hAnsiTheme="majorBidi" w:cstheme="majorBidi"/>
          <w:sz w:val="24"/>
          <w:szCs w:val="24"/>
          <w:lang w:eastAsia="zh-CN"/>
        </w:rPr>
        <w:t>LIBRARY OF CONGRESS</w:t>
      </w:r>
    </w:p>
    <w:p w:rsidR="00A23B08" w:rsidRPr="00261365" w:rsidP="00A23B08">
      <w:pPr>
        <w:jc w:val="center"/>
        <w:rPr>
          <w:rFonts w:eastAsia="SimSun" w:asciiTheme="majorBidi" w:hAnsiTheme="majorBidi" w:cstheme="majorBidi"/>
          <w:sz w:val="24"/>
          <w:szCs w:val="24"/>
          <w:lang w:eastAsia="zh-CN"/>
        </w:rPr>
      </w:pPr>
      <w:r w:rsidRPr="00261365">
        <w:rPr>
          <w:rFonts w:eastAsia="SimSun" w:asciiTheme="majorBidi" w:hAnsiTheme="majorBidi" w:cstheme="majorBidi"/>
          <w:sz w:val="24"/>
          <w:szCs w:val="24"/>
          <w:lang w:eastAsia="zh-CN"/>
        </w:rPr>
        <w:t>Washington, D.C.</w:t>
      </w:r>
    </w:p>
    <w:p w:rsidR="00A23B08" w:rsidRPr="00261365" w:rsidP="00A23B08">
      <w:pPr>
        <w:ind w:firstLine="720"/>
        <w:rPr>
          <w:rFonts w:eastAsia="SimSun" w:asciiTheme="majorBidi" w:hAnsiTheme="majorBidi" w:cstheme="majorBidi"/>
          <w:sz w:val="24"/>
          <w:szCs w:val="24"/>
          <w:lang w:eastAsia="zh-CN"/>
        </w:rPr>
      </w:pPr>
    </w:p>
    <w:tbl>
      <w:tblPr>
        <w:tblW w:w="9742" w:type="dxa"/>
        <w:tblInd w:w="8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428"/>
        <w:gridCol w:w="5314"/>
      </w:tblGrid>
      <w:tr w:rsidTr="00594EC4">
        <w:tblPrEx>
          <w:tblW w:w="9742" w:type="dxa"/>
          <w:tblInd w:w="8" w:type="dxa"/>
          <w:tblBorders>
            <w:insideH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</w:trPr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365" w:rsidRPr="00261365" w:rsidP="00594EC4">
            <w:pPr>
              <w:widowControl w:val="0"/>
              <w:rPr>
                <w:bCs/>
                <w:sz w:val="24"/>
                <w:szCs w:val="24"/>
              </w:rPr>
            </w:pPr>
          </w:p>
          <w:p w:rsidR="00261365" w:rsidRPr="00261365" w:rsidP="00594EC4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261365">
              <w:rPr>
                <w:bCs/>
                <w:i/>
                <w:iCs/>
                <w:sz w:val="24"/>
                <w:szCs w:val="24"/>
              </w:rPr>
              <w:t>In re</w:t>
            </w:r>
          </w:p>
          <w:p w:rsidR="00261365" w:rsidRPr="00261365" w:rsidP="00594EC4">
            <w:pPr>
              <w:widowControl w:val="0"/>
              <w:rPr>
                <w:bCs/>
                <w:sz w:val="24"/>
                <w:szCs w:val="24"/>
              </w:rPr>
            </w:pPr>
          </w:p>
          <w:p w:rsidR="00261365" w:rsidRPr="00261365" w:rsidP="00594EC4">
            <w:pPr>
              <w:widowControl w:val="0"/>
              <w:rPr>
                <w:bCs/>
                <w:sz w:val="24"/>
                <w:szCs w:val="24"/>
              </w:rPr>
            </w:pPr>
            <w:r w:rsidRPr="00261365">
              <w:rPr>
                <w:bCs/>
                <w:sz w:val="24"/>
                <w:szCs w:val="24"/>
              </w:rPr>
              <w:t>Determination and Allocation of Initial Administrative Assessment to Fund Mechanical Licensing Collective</w:t>
            </w:r>
          </w:p>
          <w:p w:rsidR="00261365" w:rsidRPr="00261365" w:rsidP="00594EC4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5314" w:type="dxa"/>
            <w:tcBorders>
              <w:left w:val="single" w:sz="4" w:space="0" w:color="auto"/>
            </w:tcBorders>
            <w:shd w:val="clear" w:color="auto" w:fill="auto"/>
          </w:tcPr>
          <w:p w:rsidR="00261365" w:rsidRPr="00261365" w:rsidP="00594EC4">
            <w:pPr>
              <w:widowControl w:val="0"/>
              <w:tabs>
                <w:tab w:val="left" w:pos="1238"/>
              </w:tabs>
              <w:spacing w:before="240"/>
              <w:ind w:left="216"/>
              <w:jc w:val="center"/>
              <w:rPr>
                <w:bCs/>
                <w:sz w:val="24"/>
                <w:szCs w:val="24"/>
              </w:rPr>
            </w:pPr>
            <w:r w:rsidRPr="00261365">
              <w:rPr>
                <w:bCs/>
                <w:sz w:val="24"/>
                <w:szCs w:val="24"/>
              </w:rPr>
              <w:t>Docket No. 19-CRB-0009–AA</w:t>
            </w:r>
          </w:p>
          <w:p w:rsidR="00261365" w:rsidRPr="00261365" w:rsidP="00594EC4">
            <w:pPr>
              <w:widowControl w:val="0"/>
              <w:spacing w:before="240" w:after="240"/>
              <w:jc w:val="center"/>
              <w:rPr>
                <w:b/>
                <w:caps/>
                <w:sz w:val="24"/>
                <w:szCs w:val="24"/>
                <w:u w:val="single"/>
              </w:rPr>
            </w:pPr>
          </w:p>
          <w:p w:rsidR="00261365" w:rsidRPr="00261365" w:rsidP="00594EC4">
            <w:pPr>
              <w:widowControl w:val="0"/>
              <w:tabs>
                <w:tab w:val="left" w:pos="792"/>
                <w:tab w:val="left" w:pos="1238"/>
              </w:tabs>
              <w:spacing w:before="240"/>
              <w:ind w:left="216"/>
              <w:rPr>
                <w:bCs/>
                <w:sz w:val="24"/>
                <w:szCs w:val="24"/>
              </w:rPr>
            </w:pPr>
          </w:p>
          <w:p w:rsidR="00261365" w:rsidRPr="00261365" w:rsidP="00594EC4">
            <w:pPr>
              <w:widowControl w:val="0"/>
              <w:ind w:left="216"/>
              <w:rPr>
                <w:bCs/>
                <w:sz w:val="24"/>
                <w:szCs w:val="24"/>
              </w:rPr>
            </w:pPr>
          </w:p>
        </w:tc>
      </w:tr>
    </w:tbl>
    <w:p w:rsidR="00A23B08" w:rsidRPr="00261365" w:rsidP="00A23B08">
      <w:pPr>
        <w:rPr>
          <w:rFonts w:eastAsia="SimSun" w:asciiTheme="majorBidi" w:hAnsiTheme="majorBidi" w:cstheme="majorBidi"/>
          <w:sz w:val="24"/>
          <w:szCs w:val="24"/>
        </w:rPr>
      </w:pPr>
    </w:p>
    <w:p w:rsidR="00A23B08" w:rsidRPr="00261365" w:rsidP="00261365">
      <w:pPr>
        <w:jc w:val="center"/>
        <w:rPr>
          <w:rFonts w:eastAsia="SimSun" w:asciiTheme="majorBidi" w:hAnsiTheme="majorBidi" w:cstheme="majorBidi"/>
          <w:b/>
          <w:bCs/>
          <w:sz w:val="24"/>
          <w:szCs w:val="24"/>
          <w:u w:val="single"/>
        </w:rPr>
      </w:pPr>
      <w:r w:rsidRPr="00261365">
        <w:rPr>
          <w:rFonts w:eastAsia="SimSun" w:asciiTheme="majorBidi" w:hAnsiTheme="majorBidi" w:cstheme="majorBidi"/>
          <w:b/>
          <w:bCs/>
          <w:sz w:val="24"/>
          <w:szCs w:val="24"/>
        </w:rPr>
        <w:t xml:space="preserve">[PROPOSED] ORDER GRANTING </w:t>
      </w:r>
      <w:r w:rsidRPr="00261365" w:rsidR="00261365">
        <w:rPr>
          <w:rFonts w:eastAsia="SimSun" w:asciiTheme="majorBidi" w:hAnsiTheme="majorBidi" w:cstheme="majorBidi"/>
          <w:b/>
          <w:bCs/>
          <w:sz w:val="24"/>
          <w:szCs w:val="24"/>
        </w:rPr>
        <w:t xml:space="preserve">PARTICIPANTS’ UNOPPOSED </w:t>
      </w:r>
      <w:r w:rsidRPr="00261365" w:rsidR="00261365">
        <w:rPr>
          <w:rFonts w:eastAsia="SimSun" w:asciiTheme="majorBidi" w:hAnsiTheme="majorBidi" w:cstheme="majorBidi"/>
          <w:b/>
          <w:bCs/>
          <w:sz w:val="24"/>
          <w:szCs w:val="24"/>
        </w:rPr>
        <w:br/>
      </w:r>
      <w:r w:rsidRPr="00261365" w:rsidR="00261365">
        <w:rPr>
          <w:rFonts w:eastAsia="SimSun" w:asciiTheme="majorBidi" w:hAnsiTheme="majorBidi" w:cstheme="majorBidi"/>
          <w:b/>
          <w:bCs/>
          <w:sz w:val="24"/>
          <w:szCs w:val="24"/>
          <w:u w:val="single"/>
        </w:rPr>
        <w:t>JOINT MOTION TO MODIFY THE CASE SCHEDULING ORDER</w:t>
      </w:r>
    </w:p>
    <w:p w:rsidR="00A23B08" w:rsidRPr="00261365" w:rsidP="00A23B08">
      <w:pPr>
        <w:jc w:val="center"/>
        <w:rPr>
          <w:rFonts w:eastAsia="SimSun" w:asciiTheme="majorBidi" w:hAnsiTheme="majorBidi" w:cstheme="majorBidi"/>
          <w:b/>
          <w:bCs/>
          <w:sz w:val="24"/>
          <w:szCs w:val="24"/>
        </w:rPr>
      </w:pPr>
    </w:p>
    <w:p w:rsidR="008F3857" w:rsidRPr="00261365" w:rsidP="00261365">
      <w:pPr>
        <w:spacing w:after="240"/>
        <w:ind w:firstLine="720"/>
        <w:jc w:val="both"/>
        <w:rPr>
          <w:rFonts w:eastAsia="SimSun" w:asciiTheme="majorBidi" w:hAnsiTheme="majorBidi" w:cstheme="majorBidi"/>
          <w:sz w:val="24"/>
          <w:szCs w:val="24"/>
        </w:rPr>
      </w:pPr>
      <w:r w:rsidRPr="00261365">
        <w:rPr>
          <w:rFonts w:eastAsia="SimSun" w:asciiTheme="majorBidi" w:hAnsiTheme="majorBidi" w:cstheme="majorBidi"/>
          <w:sz w:val="24"/>
          <w:szCs w:val="24"/>
        </w:rPr>
        <w:t xml:space="preserve">On </w:t>
      </w:r>
      <w:r w:rsidR="00261365">
        <w:rPr>
          <w:rFonts w:eastAsia="SimSun" w:asciiTheme="majorBidi" w:hAnsiTheme="majorBidi" w:cstheme="majorBidi"/>
          <w:sz w:val="24"/>
          <w:szCs w:val="24"/>
        </w:rPr>
        <w:t>July 24, 2019</w:t>
      </w:r>
      <w:r w:rsidRPr="00261365">
        <w:rPr>
          <w:rFonts w:eastAsia="SimSun" w:asciiTheme="majorBidi" w:hAnsiTheme="majorBidi" w:cstheme="majorBidi"/>
          <w:sz w:val="24"/>
          <w:szCs w:val="24"/>
        </w:rPr>
        <w:t>,</w:t>
      </w:r>
      <w:r w:rsidRPr="00261365">
        <w:rPr>
          <w:rFonts w:eastAsia="SimSun" w:asciiTheme="majorBidi" w:hAnsiTheme="majorBidi" w:cstheme="majorBidi"/>
          <w:sz w:val="24"/>
          <w:szCs w:val="24"/>
        </w:rPr>
        <w:t xml:space="preserve"> the Copyright Royalty Judges (the “Judges”) issued </w:t>
      </w:r>
      <w:r w:rsidRPr="00261365">
        <w:rPr>
          <w:rFonts w:eastAsia="SimSun" w:asciiTheme="majorBidi" w:hAnsiTheme="majorBidi" w:cstheme="majorBidi"/>
          <w:sz w:val="24"/>
          <w:szCs w:val="24"/>
        </w:rPr>
        <w:t xml:space="preserve">a </w:t>
      </w:r>
      <w:r w:rsidRPr="00261365" w:rsidR="00261365">
        <w:rPr>
          <w:rFonts w:eastAsia="SimSun" w:asciiTheme="majorBidi" w:hAnsiTheme="majorBidi" w:cstheme="majorBidi"/>
          <w:i/>
          <w:sz w:val="24"/>
          <w:szCs w:val="24"/>
        </w:rPr>
        <w:t>Notice of Participants and Case Scheduling Order</w:t>
      </w:r>
      <w:r w:rsidRPr="00261365" w:rsidR="00261365">
        <w:rPr>
          <w:rFonts w:eastAsia="SimSun" w:asciiTheme="majorBidi" w:hAnsiTheme="majorBidi" w:cstheme="majorBidi"/>
          <w:sz w:val="24"/>
          <w:szCs w:val="24"/>
        </w:rPr>
        <w:t xml:space="preserve"> </w:t>
      </w:r>
      <w:r w:rsidR="00261365">
        <w:rPr>
          <w:rFonts w:eastAsia="SimSun" w:asciiTheme="majorBidi" w:hAnsiTheme="majorBidi" w:cstheme="majorBidi"/>
          <w:sz w:val="24"/>
          <w:szCs w:val="24"/>
        </w:rPr>
        <w:t>(the “Case Scheduling Order”) in the above-captioned proceeding</w:t>
      </w:r>
      <w:r w:rsidRPr="00261365">
        <w:rPr>
          <w:rFonts w:eastAsia="SimSun" w:asciiTheme="majorBidi" w:hAnsiTheme="majorBidi" w:cstheme="majorBidi"/>
          <w:sz w:val="24"/>
          <w:szCs w:val="24"/>
        </w:rPr>
        <w:t xml:space="preserve">.  </w:t>
      </w:r>
      <w:r w:rsidR="00261365">
        <w:rPr>
          <w:rFonts w:eastAsia="SimSun" w:asciiTheme="majorBidi" w:hAnsiTheme="majorBidi" w:cstheme="majorBidi"/>
          <w:sz w:val="24"/>
          <w:szCs w:val="24"/>
        </w:rPr>
        <w:t>On August 7, 2019</w:t>
      </w:r>
      <w:r w:rsidRPr="00261365">
        <w:rPr>
          <w:rFonts w:eastAsia="SimSun" w:asciiTheme="majorBidi" w:hAnsiTheme="majorBidi" w:cstheme="majorBidi"/>
          <w:sz w:val="24"/>
          <w:szCs w:val="24"/>
        </w:rPr>
        <w:t>,</w:t>
      </w:r>
      <w:r w:rsidR="00261365">
        <w:rPr>
          <w:rFonts w:eastAsia="SimSun" w:asciiTheme="majorBidi" w:hAnsiTheme="majorBidi" w:cstheme="majorBidi"/>
          <w:sz w:val="24"/>
          <w:szCs w:val="24"/>
        </w:rPr>
        <w:t xml:space="preserve"> </w:t>
      </w:r>
      <w:r w:rsidRPr="00261365" w:rsidR="00261365">
        <w:rPr>
          <w:rFonts w:eastAsia="SimSun" w:asciiTheme="majorBidi" w:hAnsiTheme="majorBidi" w:cstheme="majorBidi"/>
          <w:sz w:val="24"/>
          <w:szCs w:val="24"/>
        </w:rPr>
        <w:t xml:space="preserve">the Mechanical Licensing Collective (the “MLC”) and the Digital </w:t>
      </w:r>
      <w:r w:rsidR="00261365">
        <w:rPr>
          <w:rFonts w:eastAsia="SimSun" w:asciiTheme="majorBidi" w:hAnsiTheme="majorBidi" w:cstheme="majorBidi"/>
          <w:sz w:val="24"/>
          <w:szCs w:val="24"/>
        </w:rPr>
        <w:t xml:space="preserve">Licensee Coordinator (the “DLC”) filed an unopposed joint motion (the “Motion”) to modify </w:t>
      </w:r>
      <w:r w:rsidRPr="00261365">
        <w:rPr>
          <w:rFonts w:eastAsia="SimSun" w:asciiTheme="majorBidi" w:hAnsiTheme="majorBidi" w:cstheme="majorBidi"/>
          <w:sz w:val="24"/>
          <w:szCs w:val="24"/>
        </w:rPr>
        <w:t xml:space="preserve">the </w:t>
      </w:r>
      <w:r w:rsidR="00261365">
        <w:rPr>
          <w:rFonts w:eastAsia="SimSun" w:asciiTheme="majorBidi" w:hAnsiTheme="majorBidi" w:cstheme="majorBidi"/>
          <w:sz w:val="24"/>
          <w:szCs w:val="24"/>
        </w:rPr>
        <w:t xml:space="preserve">Case Scheduling Order.  </w:t>
      </w:r>
    </w:p>
    <w:p w:rsidR="008F3857" w:rsidRPr="00261365" w:rsidP="00261365">
      <w:pPr>
        <w:spacing w:after="240"/>
        <w:ind w:firstLine="720"/>
        <w:jc w:val="both"/>
        <w:rPr>
          <w:rFonts w:eastAsia="SimSun" w:asciiTheme="majorBidi" w:hAnsiTheme="majorBidi" w:cstheme="majorBidi"/>
          <w:sz w:val="24"/>
          <w:szCs w:val="24"/>
          <w:lang w:eastAsia="zh-CN" w:bidi="he-IL"/>
        </w:rPr>
      </w:pPr>
      <w:r w:rsidRP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Having considered the Motion, the Judges hereby </w:t>
      </w:r>
      <w:r w:rsidRPr="00261365">
        <w:rPr>
          <w:rFonts w:eastAsia="SimSun" w:asciiTheme="majorBidi" w:hAnsiTheme="majorBidi" w:cstheme="majorBidi"/>
          <w:b/>
          <w:sz w:val="24"/>
          <w:szCs w:val="24"/>
          <w:lang w:eastAsia="zh-CN" w:bidi="he-IL"/>
        </w:rPr>
        <w:t xml:space="preserve">GRANT </w:t>
      </w:r>
      <w:r w:rsidRP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the Motion and </w:t>
      </w:r>
      <w:r w:rsidRPr="00261365">
        <w:rPr>
          <w:rFonts w:eastAsia="SimSun" w:asciiTheme="majorBidi" w:hAnsiTheme="majorBidi" w:cstheme="majorBidi"/>
          <w:b/>
          <w:bCs/>
          <w:sz w:val="24"/>
          <w:szCs w:val="24"/>
          <w:lang w:eastAsia="zh-CN" w:bidi="he-IL"/>
        </w:rPr>
        <w:t>ORDER</w:t>
      </w:r>
      <w:r w:rsidRP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that </w:t>
      </w:r>
      <w:r w:rsid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Attachment B to </w:t>
      </w:r>
      <w:r w:rsidRP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the </w:t>
      </w:r>
      <w:r w:rsid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Case Scheduling Order be amended </w:t>
      </w:r>
      <w:r w:rsidRPr="00261365" w:rsidR="0021792A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so as </w:t>
      </w:r>
      <w:r w:rsidRPr="00261365" w:rsidR="00F02E8F">
        <w:rPr>
          <w:rFonts w:eastAsia="SimSun" w:asciiTheme="majorBidi" w:hAnsiTheme="majorBidi" w:cstheme="majorBidi"/>
          <w:sz w:val="24"/>
          <w:szCs w:val="24"/>
          <w:lang w:eastAsia="zh-CN" w:bidi="he-IL"/>
        </w:rPr>
        <w:t>to read as follows</w:t>
      </w:r>
      <w:r w:rsidRPr="00261365">
        <w:rPr>
          <w:rFonts w:eastAsia="SimSun" w:asciiTheme="majorBidi" w:hAnsiTheme="majorBidi" w:cstheme="majorBidi"/>
          <w:sz w:val="24"/>
          <w:szCs w:val="24"/>
          <w:lang w:eastAsia="zh-CN" w:bidi="he-IL"/>
        </w:rPr>
        <w:t>:</w:t>
      </w:r>
    </w:p>
    <w:p w:rsidR="00261365" w:rsidRPr="00261365" w:rsidP="00261365">
      <w:pPr>
        <w:spacing w:line="480" w:lineRule="auto"/>
        <w:rPr>
          <w:rFonts w:eastAsia="SimSun" w:asciiTheme="majorBidi" w:hAnsiTheme="majorBidi" w:cstheme="majorBidi"/>
          <w:b/>
          <w:iCs/>
          <w:sz w:val="24"/>
          <w:szCs w:val="24"/>
          <w:lang w:eastAsia="zh-CN" w:bidi="he-IL"/>
        </w:rPr>
      </w:pPr>
      <w:r w:rsidRPr="00261365">
        <w:rPr>
          <w:rFonts w:eastAsia="SimSun" w:asciiTheme="majorBidi" w:hAnsiTheme="majorBidi" w:cstheme="majorBidi"/>
          <w:b/>
          <w:iCs/>
          <w:sz w:val="24"/>
          <w:szCs w:val="24"/>
          <w:lang w:eastAsia="zh-CN" w:bidi="he-IL"/>
        </w:rPr>
        <w:t>Case Schedule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25"/>
        <w:gridCol w:w="3077"/>
      </w:tblGrid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4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  <w:t>Case Event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  <w:t>Date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Initiation (publication in Fed. Reg.)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July 8,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Petitions to Participate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July 23,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02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Notice of Participants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July 24,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07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Motion to Adopt Protective Order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August 8,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MLC Opening Submission/Written Disclosures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13,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13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DLC’s Discovery Period Starts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16,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End of First Negotiation Period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6,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48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Joint Written Notification of MLC and DLC Regarding Results of Negotiation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6,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  <w:t>If Parties Have Settled: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 xml:space="preserve"> 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48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Comments on Proposed Settlement (if any) by Non-settling Participants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13,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71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Settling Parties’ Reply to Comments on Proposed Settlement (if any)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September 20,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4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DLC’s Discovery Period Ends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November 15,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48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Responsive Submissions/Written Disclosures from DLC and any other Participant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November 19,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MLC’s Discovery Period Begins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November 22, 2019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432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MLC’s Discovery Period Ends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January 23,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Second Negotiation Period Begins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January 14,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1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MLC Reply Submission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January 27,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End of Second Negotiation Period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January 28,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53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Joint Written Notification of MLC and DLC Regarding Results of Negotiation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January 28,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1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Joint Prehearing Submission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February 6,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b/>
                <w:iCs/>
                <w:sz w:val="24"/>
                <w:szCs w:val="24"/>
                <w:lang w:eastAsia="zh-CN" w:bidi="he-IL"/>
              </w:rPr>
              <w:t>If Parties Have Settled: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 xml:space="preserve"> 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53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Comments on Proposed Settlement (if any) by Non-settling Participants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February 4,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571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Settling Parties' Reply to Comments on Proposed Settlement (if any)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D0CECE" w:fill="D0CECE"/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February 11,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36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Commencement of Hearing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February 18, 2020</w:t>
            </w:r>
          </w:p>
        </w:tc>
      </w:tr>
      <w:tr w:rsidTr="00594EC4">
        <w:tblPrEx>
          <w:tblW w:w="0" w:type="auto"/>
          <w:tblInd w:w="24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345"/>
        </w:trPr>
        <w:tc>
          <w:tcPr>
            <w:tcW w:w="61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Determination of Initial Administrative Assessment</w:t>
            </w:r>
          </w:p>
        </w:tc>
        <w:tc>
          <w:tcPr>
            <w:tcW w:w="30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261365" w:rsidRPr="00261365" w:rsidP="00261365">
            <w:pPr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</w:pPr>
            <w:r w:rsidRPr="00261365">
              <w:rPr>
                <w:rFonts w:eastAsia="SimSun" w:asciiTheme="majorBidi" w:hAnsiTheme="majorBidi" w:cstheme="majorBidi"/>
                <w:iCs/>
                <w:sz w:val="24"/>
                <w:szCs w:val="24"/>
                <w:lang w:eastAsia="zh-CN" w:bidi="he-IL"/>
              </w:rPr>
              <w:t>Not later than July 8, 2020</w:t>
            </w:r>
          </w:p>
        </w:tc>
      </w:tr>
    </w:tbl>
    <w:p w:rsidR="00261365" w:rsidP="00A23B08">
      <w:pPr>
        <w:spacing w:line="480" w:lineRule="auto"/>
        <w:rPr>
          <w:rFonts w:eastAsia="SimSun" w:asciiTheme="majorBidi" w:hAnsiTheme="majorBidi" w:cstheme="majorBidi"/>
          <w:b/>
          <w:sz w:val="24"/>
          <w:szCs w:val="24"/>
        </w:rPr>
      </w:pPr>
    </w:p>
    <w:p w:rsidR="00A23B08" w:rsidRPr="00261365" w:rsidP="00A23B08">
      <w:pPr>
        <w:spacing w:line="480" w:lineRule="auto"/>
        <w:rPr>
          <w:rFonts w:eastAsia="SimSun" w:asciiTheme="majorBidi" w:hAnsiTheme="majorBidi" w:cstheme="majorBidi"/>
          <w:b/>
          <w:sz w:val="24"/>
          <w:szCs w:val="24"/>
        </w:rPr>
      </w:pPr>
      <w:r w:rsidRPr="00261365">
        <w:rPr>
          <w:rFonts w:eastAsia="SimSun" w:asciiTheme="majorBidi" w:hAnsiTheme="majorBidi" w:cstheme="majorBidi"/>
          <w:b/>
          <w:sz w:val="24"/>
          <w:szCs w:val="24"/>
        </w:rPr>
        <w:t xml:space="preserve">SO ORDERED. </w:t>
      </w:r>
    </w:p>
    <w:p w:rsidR="00A23B08" w:rsidRPr="00261365" w:rsidP="00A23B08">
      <w:pPr>
        <w:rPr>
          <w:rFonts w:eastAsia="SimSun" w:asciiTheme="majorBidi" w:hAnsiTheme="majorBidi" w:cstheme="majorBidi"/>
          <w:sz w:val="24"/>
          <w:szCs w:val="24"/>
        </w:rPr>
      </w:pP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  <w:t>_______________________________</w:t>
      </w:r>
    </w:p>
    <w:p w:rsidR="00A23B08" w:rsidRPr="00261365" w:rsidP="00261365">
      <w:pPr>
        <w:rPr>
          <w:rFonts w:eastAsia="SimSun" w:asciiTheme="majorBidi" w:hAnsiTheme="majorBidi" w:cstheme="majorBidi"/>
          <w:sz w:val="24"/>
          <w:szCs w:val="24"/>
        </w:rPr>
      </w:pP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="00261365">
        <w:rPr>
          <w:rFonts w:eastAsia="SimSun" w:asciiTheme="majorBidi" w:hAnsiTheme="majorBidi" w:cstheme="majorBidi"/>
          <w:sz w:val="24"/>
          <w:szCs w:val="24"/>
        </w:rPr>
        <w:t>Jesse M. Feder</w:t>
      </w:r>
    </w:p>
    <w:p w:rsidR="00A23B08" w:rsidRPr="00261365" w:rsidP="00A23B08">
      <w:pPr>
        <w:rPr>
          <w:rFonts w:eastAsia="SimSun" w:asciiTheme="majorBidi" w:hAnsiTheme="majorBidi" w:cstheme="majorBidi"/>
          <w:sz w:val="24"/>
          <w:szCs w:val="24"/>
        </w:rPr>
      </w:pP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</w:r>
      <w:r w:rsidRPr="00261365">
        <w:rPr>
          <w:rFonts w:eastAsia="SimSun" w:asciiTheme="majorBidi" w:hAnsiTheme="majorBidi" w:cstheme="majorBidi"/>
          <w:sz w:val="24"/>
          <w:szCs w:val="24"/>
        </w:rPr>
        <w:tab/>
        <w:t>Chief Copyright Royalty Judge</w:t>
      </w:r>
    </w:p>
    <w:p w:rsidR="00A23B08" w:rsidRPr="00261365" w:rsidP="00A23B08">
      <w:pPr>
        <w:rPr>
          <w:rFonts w:eastAsia="SimSun" w:asciiTheme="majorBidi" w:hAnsiTheme="majorBidi" w:cstheme="majorBidi"/>
          <w:b/>
          <w:sz w:val="24"/>
          <w:szCs w:val="24"/>
        </w:rPr>
      </w:pPr>
    </w:p>
    <w:p w:rsidR="00A23B08" w:rsidRPr="00261365" w:rsidP="00A23B08">
      <w:pPr>
        <w:ind w:left="4680" w:hanging="4680"/>
        <w:rPr>
          <w:rFonts w:eastAsia="SimSun" w:asciiTheme="majorBidi" w:hAnsiTheme="majorBidi" w:cstheme="majorBidi"/>
          <w:sz w:val="24"/>
          <w:szCs w:val="24"/>
        </w:rPr>
      </w:pPr>
      <w:r w:rsidRPr="00261365">
        <w:rPr>
          <w:rFonts w:eastAsia="SimSun" w:asciiTheme="majorBidi" w:hAnsiTheme="majorBidi" w:cstheme="majorBidi"/>
          <w:sz w:val="24"/>
          <w:szCs w:val="24"/>
        </w:rPr>
        <w:t>Dated:  _________________</w:t>
      </w:r>
    </w:p>
    <w:sectPr w:rsidSect="008F38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3E2C2B"/>
    <w:multiLevelType w:val="multilevel"/>
    <w:tmpl w:val="4F5E3788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5263138"/>
    <w:multiLevelType w:val="multilevel"/>
    <w:tmpl w:val="E6C48ADC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6FB0C94"/>
    <w:multiLevelType w:val="multilevel"/>
    <w:tmpl w:val="570CE5A6"/>
    <w:lvl w:ilvl="0">
      <w:start w:val="0"/>
      <w:numFmt w:val="lowerRoman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strike w:val="0"/>
        <w:color w:val="000000"/>
        <w:spacing w:val="-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12487ED1"/>
    <w:multiLevelType w:val="multilevel"/>
    <w:tmpl w:val="CD3C303E"/>
    <w:lvl w:ilvl="0">
      <w:start w:val="0"/>
      <w:numFmt w:val="lowerRoman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48F5CAE"/>
    <w:multiLevelType w:val="multilevel"/>
    <w:tmpl w:val="824E611A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8774BB2"/>
    <w:multiLevelType w:val="multilevel"/>
    <w:tmpl w:val="5A3AC06C"/>
    <w:lvl w:ilvl="0">
      <w:start w:val="1"/>
      <w:numFmt w:val="lowerRoman"/>
      <w:lvlText w:val="(%1)"/>
      <w:lvlJc w:val="left"/>
      <w:pPr>
        <w:tabs>
          <w:tab w:val="left" w:pos="216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1CEA64A9"/>
    <w:multiLevelType w:val="multilevel"/>
    <w:tmpl w:val="07406B1A"/>
    <w:lvl w:ilvl="0">
      <w:start w:val="1"/>
      <w:numFmt w:val="upperLetter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1DF33152"/>
    <w:multiLevelType w:val="multilevel"/>
    <w:tmpl w:val="CB8894B0"/>
    <w:lvl w:ilvl="0">
      <w:start w:val="1"/>
      <w:numFmt w:val="lowerRoman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2FC5B36"/>
    <w:multiLevelType w:val="multilevel"/>
    <w:tmpl w:val="C074BD62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3620FEF"/>
    <w:multiLevelType w:val="multilevel"/>
    <w:tmpl w:val="DA522D1C"/>
    <w:lvl w:ilvl="0">
      <w:start w:val="1"/>
      <w:numFmt w:val="upperLetter"/>
      <w:lvlText w:val="(%1)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237D3CE9"/>
    <w:multiLevelType w:val="multilevel"/>
    <w:tmpl w:val="D74E76CC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29A676A0"/>
    <w:multiLevelType w:val="multilevel"/>
    <w:tmpl w:val="520852F0"/>
    <w:lvl w:ilvl="0">
      <w:start w:val="2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29F71EE0"/>
    <w:multiLevelType w:val="multilevel"/>
    <w:tmpl w:val="650AC022"/>
    <w:lvl w:ilvl="0">
      <w:start w:val="1"/>
      <w:numFmt w:val="lowerLetter"/>
      <w:lvlText w:val="(%1)"/>
      <w:lvlJc w:val="left"/>
      <w:pPr>
        <w:tabs>
          <w:tab w:val="left" w:pos="288"/>
        </w:tabs>
      </w:pPr>
      <w:rPr>
        <w:rFonts w:ascii="Arial" w:eastAsia="Arial" w:hAnsi="Arial"/>
        <w:i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2BA34097"/>
    <w:multiLevelType w:val="multilevel"/>
    <w:tmpl w:val="5F14EB28"/>
    <w:lvl w:ilvl="0">
      <w:start w:val="1"/>
      <w:numFmt w:val="lowerRoman"/>
      <w:lvlText w:val="(%1)"/>
      <w:lvlJc w:val="left"/>
      <w:pPr>
        <w:tabs>
          <w:tab w:val="left" w:pos="216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2CA90A28"/>
    <w:multiLevelType w:val="multilevel"/>
    <w:tmpl w:val="C97640C6"/>
    <w:lvl w:ilvl="0">
      <w:start w:val="4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2CE2148B"/>
    <w:multiLevelType w:val="multilevel"/>
    <w:tmpl w:val="B17EAEF6"/>
    <w:lvl w:ilvl="0">
      <w:start w:val="0"/>
      <w:numFmt w:val="lowerRoman"/>
      <w:lvlText w:val="(%1)"/>
      <w:lvlJc w:val="left"/>
      <w:pPr>
        <w:tabs>
          <w:tab w:val="left" w:pos="432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335D477E"/>
    <w:multiLevelType w:val="multilevel"/>
    <w:tmpl w:val="D5CCB076"/>
    <w:lvl w:ilvl="0">
      <w:start w:val="5"/>
      <w:numFmt w:val="low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nsid w:val="34816C16"/>
    <w:multiLevelType w:val="multilevel"/>
    <w:tmpl w:val="FBF8E448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b w:val="0"/>
        <w:bCs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nsid w:val="397D1E90"/>
    <w:multiLevelType w:val="multilevel"/>
    <w:tmpl w:val="4E6E206C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9">
    <w:nsid w:val="3B920756"/>
    <w:multiLevelType w:val="multilevel"/>
    <w:tmpl w:val="2D00D9A0"/>
    <w:lvl w:ilvl="0">
      <w:start w:val="5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nsid w:val="3BD23011"/>
    <w:multiLevelType w:val="hybridMultilevel"/>
    <w:tmpl w:val="6C30FA44"/>
    <w:lvl w:ilvl="0">
      <w:start w:val="1"/>
      <w:numFmt w:val="lowerLetter"/>
      <w:lvlText w:val="(%1)"/>
      <w:lvlJc w:val="left"/>
      <w:pPr>
        <w:ind w:left="86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84" w:hanging="360"/>
      </w:pPr>
    </w:lvl>
    <w:lvl w:ilvl="2" w:tentative="1">
      <w:start w:val="1"/>
      <w:numFmt w:val="lowerRoman"/>
      <w:lvlText w:val="%3."/>
      <w:lvlJc w:val="right"/>
      <w:pPr>
        <w:ind w:left="2304" w:hanging="180"/>
      </w:pPr>
    </w:lvl>
    <w:lvl w:ilvl="3" w:tentative="1">
      <w:start w:val="1"/>
      <w:numFmt w:val="decimal"/>
      <w:lvlText w:val="%4."/>
      <w:lvlJc w:val="left"/>
      <w:pPr>
        <w:ind w:left="3024" w:hanging="360"/>
      </w:pPr>
    </w:lvl>
    <w:lvl w:ilvl="4" w:tentative="1">
      <w:start w:val="1"/>
      <w:numFmt w:val="lowerLetter"/>
      <w:lvlText w:val="%5."/>
      <w:lvlJc w:val="left"/>
      <w:pPr>
        <w:ind w:left="3744" w:hanging="360"/>
      </w:pPr>
    </w:lvl>
    <w:lvl w:ilvl="5" w:tentative="1">
      <w:start w:val="1"/>
      <w:numFmt w:val="lowerRoman"/>
      <w:lvlText w:val="%6."/>
      <w:lvlJc w:val="right"/>
      <w:pPr>
        <w:ind w:left="4464" w:hanging="180"/>
      </w:pPr>
    </w:lvl>
    <w:lvl w:ilvl="6" w:tentative="1">
      <w:start w:val="1"/>
      <w:numFmt w:val="decimal"/>
      <w:lvlText w:val="%7."/>
      <w:lvlJc w:val="left"/>
      <w:pPr>
        <w:ind w:left="5184" w:hanging="360"/>
      </w:pPr>
    </w:lvl>
    <w:lvl w:ilvl="7" w:tentative="1">
      <w:start w:val="1"/>
      <w:numFmt w:val="lowerLetter"/>
      <w:lvlText w:val="%8."/>
      <w:lvlJc w:val="left"/>
      <w:pPr>
        <w:ind w:left="5904" w:hanging="360"/>
      </w:pPr>
    </w:lvl>
    <w:lvl w:ilvl="8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>
    <w:nsid w:val="3FDF1AB3"/>
    <w:multiLevelType w:val="multilevel"/>
    <w:tmpl w:val="DA6CFB04"/>
    <w:lvl w:ilvl="0">
      <w:start w:val="0"/>
      <w:numFmt w:val="bullet"/>
      <w:lvlText w:val="·"/>
      <w:lvlJc w:val="left"/>
      <w:pPr>
        <w:tabs>
          <w:tab w:val="left" w:pos="144"/>
        </w:tabs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407461E1"/>
    <w:multiLevelType w:val="multilevel"/>
    <w:tmpl w:val="912A68A2"/>
    <w:lvl w:ilvl="0">
      <w:start w:val="1"/>
      <w:numFmt w:val="low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3">
    <w:nsid w:val="44037B76"/>
    <w:multiLevelType w:val="multilevel"/>
    <w:tmpl w:val="6338CF58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4">
    <w:nsid w:val="4555164E"/>
    <w:multiLevelType w:val="multilevel"/>
    <w:tmpl w:val="A8CC1988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nsid w:val="46305972"/>
    <w:multiLevelType w:val="multilevel"/>
    <w:tmpl w:val="47FCE932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6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6">
    <w:nsid w:val="46933F56"/>
    <w:multiLevelType w:val="multilevel"/>
    <w:tmpl w:val="FB1026B6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nsid w:val="4B5A1003"/>
    <w:multiLevelType w:val="multilevel"/>
    <w:tmpl w:val="D53038A2"/>
    <w:lvl w:ilvl="0">
      <w:start w:val="2"/>
      <w:numFmt w:val="lowerRoman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8">
    <w:nsid w:val="4D2011A3"/>
    <w:multiLevelType w:val="multilevel"/>
    <w:tmpl w:val="807222F4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nsid w:val="4E0A0A62"/>
    <w:multiLevelType w:val="multilevel"/>
    <w:tmpl w:val="1C16E0E6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0">
    <w:nsid w:val="4E554D6D"/>
    <w:multiLevelType w:val="multilevel"/>
    <w:tmpl w:val="0798CA60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-2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1">
    <w:nsid w:val="54CB2C70"/>
    <w:multiLevelType w:val="multilevel"/>
    <w:tmpl w:val="04684C96"/>
    <w:lvl w:ilvl="0">
      <w:start w:val="0"/>
      <w:numFmt w:val="decimal"/>
      <w:lvlText w:val="(%1)"/>
      <w:lvlJc w:val="left"/>
      <w:pPr>
        <w:tabs>
          <w:tab w:val="left" w:pos="1008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nsid w:val="5A21605F"/>
    <w:multiLevelType w:val="multilevel"/>
    <w:tmpl w:val="AD4CCC8E"/>
    <w:lvl w:ilvl="0">
      <w:start w:val="2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nsid w:val="5A680DF3"/>
    <w:multiLevelType w:val="multilevel"/>
    <w:tmpl w:val="B2FE584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4">
    <w:nsid w:val="5FE9372D"/>
    <w:multiLevelType w:val="multilevel"/>
    <w:tmpl w:val="15A0DE60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5">
    <w:nsid w:val="66A34804"/>
    <w:multiLevelType w:val="multilevel"/>
    <w:tmpl w:val="14BCBB58"/>
    <w:lvl w:ilvl="0">
      <w:start w:val="4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6">
    <w:nsid w:val="6DF04D7D"/>
    <w:multiLevelType w:val="multilevel"/>
    <w:tmpl w:val="D5524968"/>
    <w:lvl w:ilvl="0">
      <w:start w:val="1"/>
      <w:numFmt w:val="decimal"/>
      <w:lvlText w:val="(%1)"/>
      <w:lvlJc w:val="left"/>
      <w:pPr>
        <w:tabs>
          <w:tab w:val="left" w:pos="21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7">
    <w:nsid w:val="6FFC6376"/>
    <w:multiLevelType w:val="multilevel"/>
    <w:tmpl w:val="E1CAA1EA"/>
    <w:lvl w:ilvl="0">
      <w:start w:val="4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8">
    <w:nsid w:val="728C454C"/>
    <w:multiLevelType w:val="multilevel"/>
    <w:tmpl w:val="8D64B10C"/>
    <w:lvl w:ilvl="0">
      <w:start w:val="1"/>
      <w:numFmt w:val="decimal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9">
    <w:nsid w:val="77D74237"/>
    <w:multiLevelType w:val="multilevel"/>
    <w:tmpl w:val="F2044E5A"/>
    <w:lvl w:ilvl="0">
      <w:start w:val="1"/>
      <w:numFmt w:val="lowerRoman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0">
    <w:nsid w:val="77EA26FF"/>
    <w:multiLevelType w:val="hybridMultilevel"/>
    <w:tmpl w:val="257A11A4"/>
    <w:lvl w:ilvl="0">
      <w:start w:val="1"/>
      <w:numFmt w:val="decimal"/>
      <w:lvlText w:val="(%1)"/>
      <w:lvlJc w:val="left"/>
      <w:pPr>
        <w:ind w:left="86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84" w:hanging="360"/>
      </w:pPr>
    </w:lvl>
    <w:lvl w:ilvl="2" w:tentative="1">
      <w:start w:val="1"/>
      <w:numFmt w:val="lowerRoman"/>
      <w:lvlText w:val="%3."/>
      <w:lvlJc w:val="right"/>
      <w:pPr>
        <w:ind w:left="2304" w:hanging="180"/>
      </w:pPr>
    </w:lvl>
    <w:lvl w:ilvl="3" w:tentative="1">
      <w:start w:val="1"/>
      <w:numFmt w:val="decimal"/>
      <w:lvlText w:val="%4."/>
      <w:lvlJc w:val="left"/>
      <w:pPr>
        <w:ind w:left="3024" w:hanging="360"/>
      </w:pPr>
    </w:lvl>
    <w:lvl w:ilvl="4" w:tentative="1">
      <w:start w:val="1"/>
      <w:numFmt w:val="lowerLetter"/>
      <w:lvlText w:val="%5."/>
      <w:lvlJc w:val="left"/>
      <w:pPr>
        <w:ind w:left="3744" w:hanging="360"/>
      </w:pPr>
    </w:lvl>
    <w:lvl w:ilvl="5" w:tentative="1">
      <w:start w:val="1"/>
      <w:numFmt w:val="lowerRoman"/>
      <w:lvlText w:val="%6."/>
      <w:lvlJc w:val="right"/>
      <w:pPr>
        <w:ind w:left="4464" w:hanging="180"/>
      </w:pPr>
    </w:lvl>
    <w:lvl w:ilvl="6" w:tentative="1">
      <w:start w:val="1"/>
      <w:numFmt w:val="decimal"/>
      <w:lvlText w:val="%7."/>
      <w:lvlJc w:val="left"/>
      <w:pPr>
        <w:ind w:left="5184" w:hanging="360"/>
      </w:pPr>
    </w:lvl>
    <w:lvl w:ilvl="7" w:tentative="1">
      <w:start w:val="1"/>
      <w:numFmt w:val="lowerLetter"/>
      <w:lvlText w:val="%8."/>
      <w:lvlJc w:val="left"/>
      <w:pPr>
        <w:ind w:left="5904" w:hanging="360"/>
      </w:pPr>
    </w:lvl>
    <w:lvl w:ilvl="8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1">
    <w:nsid w:val="7CE77162"/>
    <w:multiLevelType w:val="multilevel"/>
    <w:tmpl w:val="FB64EE2E"/>
    <w:lvl w:ilvl="0">
      <w:start w:val="0"/>
      <w:numFmt w:val="decimal"/>
      <w:lvlText w:val="(%1)"/>
      <w:lvlJc w:val="left"/>
      <w:pPr>
        <w:tabs>
          <w:tab w:val="left" w:pos="108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2">
    <w:nsid w:val="7DA3230D"/>
    <w:multiLevelType w:val="multilevel"/>
    <w:tmpl w:val="C20008F4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35"/>
  </w:num>
  <w:num w:numId="5">
    <w:abstractNumId w:val="27"/>
  </w:num>
  <w:num w:numId="6">
    <w:abstractNumId w:val="2"/>
  </w:num>
  <w:num w:numId="7">
    <w:abstractNumId w:val="28"/>
  </w:num>
  <w:num w:numId="8">
    <w:abstractNumId w:val="7"/>
  </w:num>
  <w:num w:numId="9">
    <w:abstractNumId w:val="33"/>
  </w:num>
  <w:num w:numId="10">
    <w:abstractNumId w:val="16"/>
  </w:num>
  <w:num w:numId="11">
    <w:abstractNumId w:val="9"/>
  </w:num>
  <w:num w:numId="12">
    <w:abstractNumId w:val="0"/>
  </w:num>
  <w:num w:numId="13">
    <w:abstractNumId w:val="37"/>
  </w:num>
  <w:num w:numId="14">
    <w:abstractNumId w:val="4"/>
  </w:num>
  <w:num w:numId="15">
    <w:abstractNumId w:val="19"/>
  </w:num>
  <w:num w:numId="16">
    <w:abstractNumId w:val="14"/>
  </w:num>
  <w:num w:numId="17">
    <w:abstractNumId w:val="12"/>
  </w:num>
  <w:num w:numId="18">
    <w:abstractNumId w:val="13"/>
  </w:num>
  <w:num w:numId="19">
    <w:abstractNumId w:val="3"/>
  </w:num>
  <w:num w:numId="20">
    <w:abstractNumId w:val="10"/>
  </w:num>
  <w:num w:numId="21">
    <w:abstractNumId w:val="42"/>
  </w:num>
  <w:num w:numId="22">
    <w:abstractNumId w:val="32"/>
  </w:num>
  <w:num w:numId="23">
    <w:abstractNumId w:val="39"/>
  </w:num>
  <w:num w:numId="24">
    <w:abstractNumId w:val="6"/>
  </w:num>
  <w:num w:numId="25">
    <w:abstractNumId w:val="8"/>
  </w:num>
  <w:num w:numId="26">
    <w:abstractNumId w:val="38"/>
  </w:num>
  <w:num w:numId="27">
    <w:abstractNumId w:val="29"/>
  </w:num>
  <w:num w:numId="28">
    <w:abstractNumId w:val="26"/>
  </w:num>
  <w:num w:numId="29">
    <w:abstractNumId w:val="15"/>
  </w:num>
  <w:num w:numId="30">
    <w:abstractNumId w:val="34"/>
  </w:num>
  <w:num w:numId="31">
    <w:abstractNumId w:val="23"/>
  </w:num>
  <w:num w:numId="32">
    <w:abstractNumId w:val="1"/>
  </w:num>
  <w:num w:numId="33">
    <w:abstractNumId w:val="30"/>
  </w:num>
  <w:num w:numId="34">
    <w:abstractNumId w:val="18"/>
  </w:num>
  <w:num w:numId="35">
    <w:abstractNumId w:val="11"/>
  </w:num>
  <w:num w:numId="36">
    <w:abstractNumId w:val="5"/>
  </w:num>
  <w:num w:numId="37">
    <w:abstractNumId w:val="24"/>
  </w:num>
  <w:num w:numId="38">
    <w:abstractNumId w:val="41"/>
  </w:num>
  <w:num w:numId="39">
    <w:abstractNumId w:val="36"/>
  </w:num>
  <w:num w:numId="40">
    <w:abstractNumId w:val="31"/>
  </w:num>
  <w:num w:numId="41">
    <w:abstractNumId w:val="17"/>
  </w:num>
  <w:num w:numId="42">
    <w:abstractNumId w:val="2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6857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7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B62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269"/>
  </w:style>
  <w:style w:type="paragraph" w:styleId="Footer">
    <w:name w:val="footer"/>
    <w:basedOn w:val="Normal"/>
    <w:link w:val="FooterChar"/>
    <w:uiPriority w:val="99"/>
    <w:unhideWhenUsed/>
    <w:rsid w:val="007B62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269"/>
  </w:style>
  <w:style w:type="character" w:customStyle="1" w:styleId="DocID">
    <w:name w:val="DocID"/>
    <w:basedOn w:val="DefaultParagraphFont"/>
    <w:rsid w:val="007B6269"/>
    <w:rPr>
      <w:rFonts w:ascii="Times New Roman" w:eastAsia="Arial" w:hAnsi="Times New Roman" w:cs="Times New Roman"/>
      <w:b w:val="0"/>
      <w:i w:val="0"/>
      <w:caps w:val="0"/>
      <w:vanish w:val="0"/>
      <w:color w:val="000000"/>
      <w:spacing w:val="1"/>
      <w:sz w:val="14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F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698D"/>
    <w:pPr>
      <w:ind w:left="720"/>
      <w:contextualSpacing/>
    </w:pPr>
    <w:rPr>
      <w:rFonts w:eastAsia="SimSun"/>
      <w:sz w:val="24"/>
      <w:szCs w:val="24"/>
    </w:rPr>
  </w:style>
  <w:style w:type="character" w:customStyle="1" w:styleId="et03">
    <w:name w:val="et03"/>
    <w:basedOn w:val="DefaultParagraphFont"/>
    <w:rsid w:val="00C87F4C"/>
  </w:style>
  <w:style w:type="character" w:styleId="Hyperlink">
    <w:name w:val="Hyperlink"/>
    <w:basedOn w:val="DefaultParagraphFont"/>
    <w:uiPriority w:val="99"/>
    <w:semiHidden/>
    <w:unhideWhenUsed/>
    <w:rsid w:val="00C87F4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7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7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7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14A9"/>
  </w:style>
  <w:style w:type="table" w:styleId="TableGrid">
    <w:name w:val="Table Grid"/>
    <w:basedOn w:val="TableNormal"/>
    <w:rsid w:val="00A23B08"/>
    <w:rPr>
      <w:rFonts w:ascii="Calibri" w:eastAsia="SimSu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516E9-E53E-447D-85DC-1D4B8CA1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EB48EAC9.dotm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2019-08-08T17:23:38Z</dcterms:created>
  <dcterms:modified xsi:type="dcterms:W3CDTF">2019-08-08T17:23:38Z</dcterms:modified>
</cp:coreProperties>
</file>